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0302DB62"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w:t>
      </w:r>
      <w:r w:rsidR="00B9089E" w:rsidRPr="00B9089E">
        <w:t xml:space="preserve"> </w:t>
      </w:r>
      <w:r w:rsidR="00B9089E" w:rsidRPr="00B9089E">
        <w:rPr>
          <w:rFonts w:ascii="Tahoma" w:hAnsi="Tahoma" w:cs="Tahoma"/>
          <w:b/>
          <w:bCs/>
          <w:sz w:val="20"/>
          <w:szCs w:val="20"/>
        </w:rPr>
        <w:t>6-27/2025/89</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5AC0507F"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DB4107">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3FF63B5A" w:rsidR="00F948C7" w:rsidRDefault="00F40346" w:rsidP="002C6B2A">
      <w:pPr>
        <w:spacing w:after="0"/>
        <w:jc w:val="both"/>
        <w:rPr>
          <w:rFonts w:ascii="Tahoma" w:hAnsi="Tahoma" w:cs="Tahoma"/>
          <w:sz w:val="20"/>
          <w:szCs w:val="20"/>
        </w:rPr>
      </w:pPr>
      <w:r w:rsidRPr="00F40346">
        <w:rPr>
          <w:rFonts w:ascii="Tahoma" w:hAnsi="Tahoma" w:cs="Tahoma"/>
          <w:b/>
          <w:bCs/>
          <w:sz w:val="20"/>
          <w:szCs w:val="20"/>
        </w:rPr>
        <w:t>SKO Motors OÜ</w:t>
      </w:r>
      <w:r w:rsidR="00E70FEE" w:rsidRPr="00EF0C28">
        <w:rPr>
          <w:rFonts w:ascii="Tahoma" w:hAnsi="Tahoma" w:cs="Tahoma"/>
          <w:sz w:val="20"/>
          <w:szCs w:val="20"/>
        </w:rPr>
        <w:t xml:space="preserve">, registrikoodiga </w:t>
      </w:r>
      <w:r w:rsidRPr="00F40346">
        <w:rPr>
          <w:rFonts w:ascii="Tahoma" w:hAnsi="Tahoma" w:cs="Tahoma"/>
          <w:sz w:val="20"/>
          <w:szCs w:val="20"/>
        </w:rPr>
        <w:t>12458158</w:t>
      </w:r>
      <w:r w:rsidR="00E70FEE" w:rsidRPr="00EF0C28">
        <w:rPr>
          <w:rFonts w:ascii="Tahoma" w:hAnsi="Tahoma" w:cs="Tahoma"/>
          <w:sz w:val="20"/>
          <w:szCs w:val="20"/>
        </w:rPr>
        <w:t xml:space="preserve">, asukohaga </w:t>
      </w:r>
      <w:r>
        <w:rPr>
          <w:rFonts w:ascii="Tahoma" w:hAnsi="Tahoma" w:cs="Tahoma"/>
          <w:sz w:val="20"/>
          <w:szCs w:val="20"/>
        </w:rPr>
        <w:t xml:space="preserve">Pärnu mnt </w:t>
      </w:r>
      <w:r w:rsidR="000D6E06">
        <w:rPr>
          <w:rFonts w:ascii="Tahoma" w:hAnsi="Tahoma" w:cs="Tahoma"/>
          <w:sz w:val="20"/>
          <w:szCs w:val="20"/>
        </w:rPr>
        <w:t>543, 76404</w:t>
      </w:r>
      <w:r w:rsidR="00EF5482">
        <w:rPr>
          <w:rFonts w:ascii="Tahoma" w:hAnsi="Tahoma" w:cs="Tahoma"/>
          <w:sz w:val="20"/>
          <w:szCs w:val="20"/>
        </w:rPr>
        <w:t xml:space="preserve">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w:t>
      </w:r>
      <w:r w:rsidR="00D73BA5">
        <w:rPr>
          <w:rFonts w:ascii="Tahoma" w:hAnsi="Tahoma" w:cs="Tahoma"/>
          <w:sz w:val="20"/>
          <w:szCs w:val="20"/>
        </w:rPr>
        <w:t>juhatuse liige</w:t>
      </w:r>
      <w:r w:rsidR="00E12D63">
        <w:rPr>
          <w:rFonts w:ascii="Tahoma" w:hAnsi="Tahoma" w:cs="Tahoma"/>
          <w:sz w:val="20"/>
          <w:szCs w:val="20"/>
        </w:rPr>
        <w:t xml:space="preserve"> Mauri Liiver</w:t>
      </w:r>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102CB38B"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 xml:space="preserve">3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4174F93B" w14:textId="03142280" w:rsidR="00197B7D" w:rsidRPr="00507DB3" w:rsidRDefault="000A33F9" w:rsidP="00507DB3">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507DB3">
        <w:rPr>
          <w:rFonts w:ascii="Tahoma" w:hAnsi="Tahoma" w:cs="Tahoma"/>
          <w:sz w:val="20"/>
          <w:szCs w:val="20"/>
        </w:rPr>
        <w:t xml:space="preserve"> o</w:t>
      </w:r>
      <w:r w:rsidR="00197B7D" w:rsidRPr="00507DB3">
        <w:rPr>
          <w:rFonts w:ascii="Tahoma" w:hAnsi="Tahoma" w:cs="Tahoma"/>
          <w:sz w:val="20"/>
          <w:szCs w:val="20"/>
        </w:rPr>
        <w:t>sas 3</w:t>
      </w:r>
      <w:r w:rsidR="00072756">
        <w:rPr>
          <w:rFonts w:ascii="Tahoma" w:hAnsi="Tahoma" w:cs="Tahoma"/>
          <w:sz w:val="20"/>
          <w:szCs w:val="20"/>
        </w:rPr>
        <w:t>,</w:t>
      </w:r>
      <w:r w:rsidR="00197B7D" w:rsidRPr="00507DB3">
        <w:rPr>
          <w:rFonts w:ascii="Tahoma" w:hAnsi="Tahoma" w:cs="Tahoma"/>
          <w:sz w:val="20"/>
          <w:szCs w:val="20"/>
        </w:rPr>
        <w:t xml:space="preserve"> </w:t>
      </w:r>
      <w:r w:rsidR="000D6E06" w:rsidRPr="00507DB3">
        <w:rPr>
          <w:rFonts w:ascii="Tahoma" w:hAnsi="Tahoma" w:cs="Tahoma"/>
          <w:sz w:val="20"/>
          <w:szCs w:val="20"/>
        </w:rPr>
        <w:t>0</w:t>
      </w:r>
      <w:r w:rsidR="00F727FF">
        <w:rPr>
          <w:rFonts w:ascii="Tahoma" w:hAnsi="Tahoma" w:cs="Tahoma"/>
          <w:sz w:val="20"/>
          <w:szCs w:val="20"/>
        </w:rPr>
        <w:t xml:space="preserve"> </w:t>
      </w:r>
      <w:r w:rsidR="00197B7D" w:rsidRPr="00507DB3">
        <w:rPr>
          <w:rFonts w:ascii="Tahoma" w:hAnsi="Tahoma" w:cs="Tahoma"/>
          <w:sz w:val="20"/>
          <w:szCs w:val="20"/>
        </w:rPr>
        <w:t>sõidukit</w:t>
      </w:r>
      <w:r w:rsidR="00574A60" w:rsidRPr="00507DB3">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71C63F2B" w14:textId="35715F0F"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3 – </w:t>
      </w:r>
      <w:r w:rsidR="0087512A" w:rsidRPr="0087512A">
        <w:rPr>
          <w:rFonts w:ascii="Tahoma" w:hAnsi="Tahoma" w:cs="Tahoma"/>
          <w:sz w:val="20"/>
          <w:szCs w:val="20"/>
        </w:rPr>
        <w:t>37</w:t>
      </w:r>
      <w:r w:rsidR="0087512A">
        <w:rPr>
          <w:rFonts w:ascii="Tahoma" w:hAnsi="Tahoma" w:cs="Tahoma"/>
          <w:sz w:val="20"/>
          <w:szCs w:val="20"/>
        </w:rPr>
        <w:t xml:space="preserve"> </w:t>
      </w:r>
      <w:r w:rsidR="0087512A" w:rsidRPr="0087512A">
        <w:rPr>
          <w:rFonts w:ascii="Tahoma" w:hAnsi="Tahoma" w:cs="Tahoma"/>
          <w:sz w:val="20"/>
          <w:szCs w:val="20"/>
        </w:rPr>
        <w:t>963,7</w:t>
      </w:r>
      <w:r w:rsidR="0087512A">
        <w:rPr>
          <w:rFonts w:ascii="Tahoma" w:hAnsi="Tahoma" w:cs="Tahoma"/>
          <w:sz w:val="20"/>
          <w:szCs w:val="20"/>
        </w:rPr>
        <w:t>0</w:t>
      </w:r>
      <w:r w:rsidR="00047091">
        <w:rPr>
          <w:rFonts w:ascii="Tahoma" w:hAnsi="Tahoma" w:cs="Tahoma"/>
          <w:sz w:val="20"/>
          <w:szCs w:val="20"/>
        </w:rPr>
        <w:t xml:space="preserve"> </w:t>
      </w:r>
      <w:r w:rsidR="00442953">
        <w:rPr>
          <w:rFonts w:ascii="Tahoma" w:hAnsi="Tahoma" w:cs="Tahoma"/>
          <w:sz w:val="20"/>
          <w:szCs w:val="20"/>
        </w:rPr>
        <w:t>€/tk km-ta</w:t>
      </w:r>
      <w:r w:rsidR="00574A60">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kvaliteediliselt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367C2CEB"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072756">
        <w:rPr>
          <w:rFonts w:ascii="Tahoma" w:hAnsi="Tahoma" w:cs="Tahoma"/>
          <w:sz w:val="20"/>
          <w:szCs w:val="20"/>
        </w:rPr>
        <w:t>Tellijal on õigus taotleda Täitja esindaja kohalesaabumist (kohalekutsumisel peab olema näidatud soovitav esindaja kohalesaabumise kuupäev). Täitja</w:t>
      </w:r>
      <w:r w:rsidRPr="009D0574">
        <w:rPr>
          <w:rFonts w:ascii="Tahoma" w:hAnsi="Tahoma" w:cs="Tahoma"/>
          <w:sz w:val="20"/>
          <w:szCs w:val="20"/>
        </w:rPr>
        <w:t xml:space="preserve">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52F505BC" w14:textId="77777777" w:rsidR="00574A60" w:rsidRPr="00AC2031" w:rsidRDefault="00574A60" w:rsidP="00574A60">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36DF5171"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le </w:t>
      </w:r>
      <w:r w:rsidR="00D60F13" w:rsidRPr="00417C80">
        <w:rPr>
          <w:rFonts w:ascii="Tahoma" w:hAnsi="Tahoma" w:cs="Tahoma"/>
          <w:sz w:val="20"/>
          <w:szCs w:val="20"/>
        </w:rPr>
        <w:t xml:space="preserve">garantii kestusega </w:t>
      </w:r>
      <w:r w:rsidR="009A5288">
        <w:rPr>
          <w:rFonts w:ascii="Tahoma" w:hAnsi="Tahoma" w:cs="Tahoma"/>
          <w:sz w:val="20"/>
          <w:szCs w:val="20"/>
        </w:rPr>
        <w:t xml:space="preserve">5 aastat, läbisõidupiiranguga </w:t>
      </w:r>
      <w:r w:rsidR="00CA463D">
        <w:rPr>
          <w:rFonts w:ascii="Tahoma" w:hAnsi="Tahoma" w:cs="Tahoma"/>
          <w:sz w:val="20"/>
          <w:szCs w:val="20"/>
        </w:rPr>
        <w:t>200 000</w:t>
      </w:r>
      <w:r w:rsidR="009A5288">
        <w:rPr>
          <w:rFonts w:ascii="Tahoma" w:hAnsi="Tahoma" w:cs="Tahoma"/>
          <w:sz w:val="20"/>
          <w:szCs w:val="20"/>
        </w:rPr>
        <w:t xml:space="preserve">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ülesütlemisõiguse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viisteist)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Vääramatu jõud (force majeure)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6EADDDDA"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ut täita seoses vääramatu jõuga, on kohustatud sellest koheselt teisele Poolele kirjalikult teatama. Sama</w:t>
      </w:r>
      <w:r w:rsidR="006272C1">
        <w:rPr>
          <w:rFonts w:ascii="Tahoma" w:hAnsi="Tahoma" w:cs="Tahoma"/>
          <w:sz w:val="20"/>
          <w:szCs w:val="20"/>
        </w:rPr>
        <w:tab/>
      </w:r>
      <w:r w:rsidRPr="00B572AB">
        <w:rPr>
          <w:rFonts w:ascii="Tahoma" w:hAnsi="Tahoma" w:cs="Tahoma"/>
          <w:sz w:val="20"/>
          <w:szCs w:val="20"/>
        </w:rPr>
        <w:t xml:space="preserve">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516CB9BF" w:rsidR="006C7CBC" w:rsidRPr="000759E8"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esindaja(d), kes omavad õigust ja kohustust jälgida </w:t>
      </w:r>
      <w:r w:rsidR="00B637FE">
        <w:rPr>
          <w:rFonts w:ascii="Tahoma" w:hAnsi="Tahoma" w:cs="Tahoma"/>
          <w:sz w:val="20"/>
          <w:szCs w:val="20"/>
        </w:rPr>
        <w:t>Leping</w:t>
      </w:r>
      <w:r w:rsidRPr="00B572AB">
        <w:rPr>
          <w:rFonts w:ascii="Tahoma" w:hAnsi="Tahoma" w:cs="Tahoma"/>
          <w:sz w:val="20"/>
          <w:szCs w:val="20"/>
        </w:rPr>
        <w:t>uga Tellija ja Täitja poolt võetud kohuste täitmist, on:</w:t>
      </w:r>
      <w:r w:rsidR="000759E8" w:rsidRPr="000759E8">
        <w:rPr>
          <w:rFonts w:ascii="Tahoma" w:hAnsi="Tahoma" w:cs="Tahoma"/>
          <w:sz w:val="20"/>
          <w:szCs w:val="20"/>
        </w:rPr>
        <w:t xml:space="preserve"> </w:t>
      </w:r>
      <w:r w:rsidR="000759E8">
        <w:rPr>
          <w:rFonts w:ascii="Tahoma" w:hAnsi="Tahoma" w:cs="Tahoma"/>
          <w:sz w:val="20"/>
          <w:szCs w:val="20"/>
        </w:rPr>
        <w:t>Mihkel Merimaa</w:t>
      </w:r>
      <w:r w:rsidR="000759E8" w:rsidRPr="00B572AB">
        <w:rPr>
          <w:rFonts w:ascii="Tahoma" w:hAnsi="Tahoma" w:cs="Tahoma"/>
          <w:sz w:val="20"/>
          <w:szCs w:val="20"/>
        </w:rPr>
        <w:t xml:space="preserve">, tel </w:t>
      </w:r>
      <w:r w:rsidR="000759E8">
        <w:rPr>
          <w:rFonts w:ascii="Tahoma" w:hAnsi="Tahoma" w:cs="Tahoma"/>
          <w:sz w:val="20"/>
          <w:szCs w:val="20"/>
        </w:rPr>
        <w:t>+372 </w:t>
      </w:r>
      <w:r w:rsidR="000759E8" w:rsidRPr="001053B0">
        <w:rPr>
          <w:rFonts w:ascii="Tahoma" w:hAnsi="Tahoma" w:cs="Tahoma"/>
          <w:sz w:val="20"/>
          <w:szCs w:val="20"/>
        </w:rPr>
        <w:t>504</w:t>
      </w:r>
      <w:r w:rsidR="000759E8">
        <w:rPr>
          <w:rFonts w:ascii="Tahoma" w:hAnsi="Tahoma" w:cs="Tahoma"/>
          <w:sz w:val="20"/>
          <w:szCs w:val="20"/>
        </w:rPr>
        <w:t xml:space="preserve"> </w:t>
      </w:r>
      <w:r w:rsidR="000759E8" w:rsidRPr="001053B0">
        <w:rPr>
          <w:rFonts w:ascii="Tahoma" w:hAnsi="Tahoma" w:cs="Tahoma"/>
          <w:sz w:val="20"/>
          <w:szCs w:val="20"/>
        </w:rPr>
        <w:t>4107</w:t>
      </w:r>
      <w:r w:rsidR="000759E8" w:rsidRPr="00B572AB">
        <w:rPr>
          <w:rFonts w:ascii="Tahoma" w:hAnsi="Tahoma" w:cs="Tahoma"/>
          <w:sz w:val="20"/>
          <w:szCs w:val="20"/>
        </w:rPr>
        <w:t xml:space="preserve">, e-post </w:t>
      </w:r>
      <w:hyperlink r:id="rId8" w:history="1">
        <w:r w:rsidR="000759E8" w:rsidRPr="00E47795">
          <w:rPr>
            <w:rStyle w:val="Hperlink"/>
            <w:rFonts w:ascii="Tahoma" w:hAnsi="Tahoma" w:cs="Tahoma"/>
            <w:sz w:val="20"/>
            <w:szCs w:val="20"/>
          </w:rPr>
          <w:t>mihkel.merimaa@rmk.ee</w:t>
        </w:r>
      </w:hyperlink>
      <w:r w:rsidR="00574A60" w:rsidRPr="000759E8">
        <w:rPr>
          <w:rFonts w:ascii="Tahoma" w:hAnsi="Tahoma" w:cs="Tahoma"/>
          <w:sz w:val="20"/>
          <w:szCs w:val="20"/>
        </w:rPr>
        <w:t>.</w:t>
      </w:r>
    </w:p>
    <w:p w14:paraId="54988FB5" w14:textId="2EC5EA45"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0759E8" w:rsidRPr="000759E8">
        <w:rPr>
          <w:rFonts w:ascii="Tahoma" w:hAnsi="Tahoma" w:cs="Tahoma"/>
          <w:sz w:val="20"/>
          <w:szCs w:val="20"/>
        </w:rPr>
        <w:t xml:space="preserve">Risto Haug, tel +372 5689 0020, e-post </w:t>
      </w:r>
      <w:hyperlink r:id="rId9" w:history="1">
        <w:r w:rsidR="000759E8" w:rsidRPr="000759E8">
          <w:rPr>
            <w:rStyle w:val="Hperlink"/>
            <w:rFonts w:ascii="Tahoma" w:hAnsi="Tahoma" w:cs="Tahoma"/>
            <w:sz w:val="20"/>
            <w:szCs w:val="20"/>
          </w:rPr>
          <w:t>risto.haug@skoda.ee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uga seotud informatsioonilise iseloomuga teated edastatakse Poolte vahel elektronposti teel, sh pretensioonid. Muud Pooltele õiguslikke tagajärgi kaasatoovad teated vormistatakse kirjalikult. Kontaktisiku e-mailile edastatud teate ja pretensiooni loevad Pooled kättesaaduks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33D2CC3" w14:textId="60935C1B" w:rsidR="00E80B77" w:rsidRDefault="00B637FE" w:rsidP="00574A6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08C33D43" w14:textId="77777777" w:rsidR="000D6E06" w:rsidRDefault="000D6E06" w:rsidP="000D6E06">
      <w:pPr>
        <w:pStyle w:val="Loendilik"/>
        <w:spacing w:after="0" w:line="259" w:lineRule="auto"/>
        <w:ind w:left="567"/>
        <w:jc w:val="both"/>
        <w:rPr>
          <w:rFonts w:ascii="Tahoma" w:hAnsi="Tahoma" w:cs="Tahoma"/>
          <w:sz w:val="20"/>
          <w:szCs w:val="20"/>
        </w:rPr>
      </w:pPr>
    </w:p>
    <w:p w14:paraId="5CC4DB18" w14:textId="77777777" w:rsidR="000D6E06" w:rsidRDefault="000D6E06" w:rsidP="000D6E06">
      <w:pPr>
        <w:pStyle w:val="Loendilik"/>
        <w:spacing w:after="0" w:line="259" w:lineRule="auto"/>
        <w:ind w:left="567"/>
        <w:jc w:val="both"/>
        <w:rPr>
          <w:rFonts w:ascii="Tahoma" w:hAnsi="Tahoma" w:cs="Tahoma"/>
          <w:sz w:val="20"/>
          <w:szCs w:val="20"/>
        </w:rPr>
      </w:pPr>
    </w:p>
    <w:p w14:paraId="3ADABFF2" w14:textId="77777777" w:rsidR="006D3756" w:rsidRDefault="006D3756" w:rsidP="000D6E06">
      <w:pPr>
        <w:pStyle w:val="Loendilik"/>
        <w:spacing w:after="0" w:line="259" w:lineRule="auto"/>
        <w:ind w:left="567"/>
        <w:jc w:val="both"/>
        <w:rPr>
          <w:rFonts w:ascii="Tahoma" w:hAnsi="Tahoma" w:cs="Tahoma"/>
          <w:sz w:val="20"/>
          <w:szCs w:val="20"/>
        </w:rPr>
      </w:pPr>
    </w:p>
    <w:p w14:paraId="7AA24E56" w14:textId="77777777" w:rsidR="006D3756" w:rsidRDefault="006D3756" w:rsidP="000D6E06">
      <w:pPr>
        <w:pStyle w:val="Loendilik"/>
        <w:spacing w:after="0" w:line="259" w:lineRule="auto"/>
        <w:ind w:left="567"/>
        <w:jc w:val="both"/>
        <w:rPr>
          <w:rFonts w:ascii="Tahoma" w:hAnsi="Tahoma" w:cs="Tahoma"/>
          <w:sz w:val="20"/>
          <w:szCs w:val="20"/>
        </w:rPr>
      </w:pPr>
    </w:p>
    <w:p w14:paraId="18C12D3C" w14:textId="77777777" w:rsidR="006D3756" w:rsidRPr="00574A60" w:rsidRDefault="006D3756" w:rsidP="000D6E06">
      <w:pPr>
        <w:pStyle w:val="Loendilik"/>
        <w:spacing w:after="0" w:line="259" w:lineRule="auto"/>
        <w:ind w:left="567"/>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59BBECD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00A221B4" w:rsidRPr="00A221B4">
        <w:rPr>
          <w:rFonts w:ascii="Tahoma" w:hAnsi="Tahoma" w:cs="Tahoma"/>
          <w:b/>
          <w:bCs/>
          <w:sz w:val="20"/>
          <w:szCs w:val="20"/>
        </w:rPr>
        <w:t>SKO Motors OÜ</w:t>
      </w:r>
    </w:p>
    <w:p w14:paraId="1D42FCB2" w14:textId="1E13B76D" w:rsidR="003E2985" w:rsidRPr="00EA5BDB" w:rsidRDefault="003E2985" w:rsidP="003E2985">
      <w:pPr>
        <w:spacing w:after="0"/>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22A12">
        <w:rPr>
          <w:rFonts w:ascii="Tahoma" w:hAnsi="Tahoma" w:cs="Tahoma"/>
          <w:sz w:val="20"/>
          <w:szCs w:val="20"/>
        </w:rPr>
        <w:t xml:space="preserve">Rg-kood: </w:t>
      </w:r>
      <w:r w:rsidR="00A221B4" w:rsidRPr="00A221B4">
        <w:rPr>
          <w:rFonts w:ascii="Tahoma" w:hAnsi="Tahoma" w:cs="Tahoma"/>
          <w:sz w:val="20"/>
          <w:szCs w:val="20"/>
        </w:rPr>
        <w:t>12458158</w:t>
      </w:r>
    </w:p>
    <w:p w14:paraId="2DE4E9F8" w14:textId="4B846288"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A221B4">
        <w:rPr>
          <w:rFonts w:ascii="Tahoma" w:hAnsi="Tahoma" w:cs="Tahoma"/>
          <w:sz w:val="20"/>
          <w:szCs w:val="20"/>
        </w:rPr>
        <w:t>Pärnu mnt 543, 76404</w:t>
      </w:r>
      <w:r w:rsidR="00A7468E">
        <w:rPr>
          <w:rFonts w:ascii="Tahoma" w:hAnsi="Tahoma" w:cs="Tahoma"/>
          <w:sz w:val="20"/>
          <w:szCs w:val="20"/>
        </w:rPr>
        <w:t xml:space="preserve">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4E0EAFF7"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B43CFE" w:rsidRPr="00B43CFE">
        <w:rPr>
          <w:rFonts w:ascii="Tahoma" w:hAnsi="Tahoma" w:cs="Tahoma"/>
          <w:sz w:val="20"/>
          <w:szCs w:val="20"/>
        </w:rPr>
        <w:t>+372</w:t>
      </w:r>
      <w:r w:rsidR="00B43CFE">
        <w:rPr>
          <w:rFonts w:ascii="Tahoma" w:hAnsi="Tahoma" w:cs="Tahoma"/>
          <w:sz w:val="20"/>
          <w:szCs w:val="20"/>
        </w:rPr>
        <w:t> </w:t>
      </w:r>
      <w:r w:rsidR="00B43CFE" w:rsidRPr="00B43CFE">
        <w:rPr>
          <w:rFonts w:ascii="Tahoma" w:hAnsi="Tahoma" w:cs="Tahoma"/>
          <w:sz w:val="20"/>
          <w:szCs w:val="20"/>
        </w:rPr>
        <w:t>683</w:t>
      </w:r>
      <w:r w:rsidR="00B43CFE">
        <w:rPr>
          <w:rFonts w:ascii="Tahoma" w:hAnsi="Tahoma" w:cs="Tahoma"/>
          <w:sz w:val="20"/>
          <w:szCs w:val="20"/>
        </w:rPr>
        <w:t xml:space="preserve"> </w:t>
      </w:r>
      <w:r w:rsidR="00B43CFE" w:rsidRPr="00B43CFE">
        <w:rPr>
          <w:rFonts w:ascii="Tahoma" w:hAnsi="Tahoma" w:cs="Tahoma"/>
          <w:sz w:val="20"/>
          <w:szCs w:val="20"/>
        </w:rPr>
        <w:t>7070</w:t>
      </w:r>
    </w:p>
    <w:p w14:paraId="0628E26D" w14:textId="76CDF1FE"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E-post</w:t>
      </w:r>
      <w:r w:rsidR="00DF516F" w:rsidRPr="00B43CFE">
        <w:rPr>
          <w:rFonts w:ascii="Tahoma" w:hAnsi="Tahoma" w:cs="Tahoma"/>
          <w:sz w:val="20"/>
          <w:szCs w:val="20"/>
        </w:rPr>
        <w:t xml:space="preserve">: </w:t>
      </w:r>
      <w:hyperlink r:id="rId11" w:history="1">
        <w:r w:rsidR="00B43CFE" w:rsidRPr="00B43CFE">
          <w:rPr>
            <w:rStyle w:val="Hperlink"/>
            <w:rFonts w:ascii="Tahoma" w:hAnsi="Tahoma" w:cs="Tahoma"/>
            <w:sz w:val="20"/>
            <w:szCs w:val="20"/>
          </w:rPr>
          <w:t>auto.laagri@skoda.ee</w:t>
        </w:r>
      </w:hyperlink>
      <w:r w:rsidR="00B43CFE">
        <w:t xml:space="preserve"> </w:t>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342917E3" w:rsidR="003E2985" w:rsidRDefault="00DB4107"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0972C0">
        <w:rPr>
          <w:rFonts w:ascii="Tahoma" w:hAnsi="Tahoma" w:cs="Tahoma"/>
          <w:sz w:val="20"/>
          <w:szCs w:val="20"/>
        </w:rPr>
        <w:t>Mauri Liiver</w:t>
      </w:r>
    </w:p>
    <w:p w14:paraId="4197876B" w14:textId="6BCD54F8" w:rsidR="00574A60" w:rsidRPr="00110397" w:rsidRDefault="00722A12" w:rsidP="00574A60">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0972C0">
        <w:rPr>
          <w:rFonts w:ascii="Tahoma" w:hAnsi="Tahoma" w:cs="Tahoma"/>
          <w:sz w:val="20"/>
          <w:szCs w:val="20"/>
        </w:rPr>
        <w:t>Juhatuse liige</w:t>
      </w:r>
      <w:r w:rsidR="003E2985">
        <w:rPr>
          <w:rFonts w:ascii="Tahoma" w:hAnsi="Tahoma" w:cs="Tahoma"/>
          <w:sz w:val="20"/>
          <w:szCs w:val="20"/>
        </w:rPr>
        <w:tab/>
      </w:r>
    </w:p>
    <w:p w14:paraId="69326E25" w14:textId="0876A58B" w:rsidR="00110397" w:rsidRPr="00110397" w:rsidRDefault="00110397" w:rsidP="002C6B2A">
      <w:pPr>
        <w:spacing w:after="0" w:line="240" w:lineRule="auto"/>
        <w:jc w:val="both"/>
        <w:rPr>
          <w:rFonts w:ascii="Tahoma" w:hAnsi="Tahoma" w:cs="Tahoma"/>
          <w:sz w:val="20"/>
          <w:szCs w:val="20"/>
        </w:rPr>
      </w:pPr>
    </w:p>
    <w:sectPr w:rsidR="00110397" w:rsidRPr="00110397" w:rsidSect="00B064BA">
      <w:head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10F6C" w14:textId="77777777" w:rsidR="00A543FF" w:rsidRDefault="00A543FF" w:rsidP="00E80B77">
      <w:pPr>
        <w:spacing w:after="0" w:line="240" w:lineRule="auto"/>
      </w:pPr>
      <w:r>
        <w:separator/>
      </w:r>
    </w:p>
  </w:endnote>
  <w:endnote w:type="continuationSeparator" w:id="0">
    <w:p w14:paraId="2EEB16E8" w14:textId="77777777" w:rsidR="00A543FF" w:rsidRDefault="00A543FF"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1F323" w14:textId="77777777" w:rsidR="00A543FF" w:rsidRDefault="00A543FF" w:rsidP="00E80B77">
      <w:pPr>
        <w:spacing w:after="0" w:line="240" w:lineRule="auto"/>
      </w:pPr>
      <w:r>
        <w:separator/>
      </w:r>
    </w:p>
  </w:footnote>
  <w:footnote w:type="continuationSeparator" w:id="0">
    <w:p w14:paraId="0E89454C" w14:textId="77777777" w:rsidR="00A543FF" w:rsidRDefault="00A543FF"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7091"/>
    <w:rsid w:val="000550DB"/>
    <w:rsid w:val="00072756"/>
    <w:rsid w:val="000759E8"/>
    <w:rsid w:val="00075C42"/>
    <w:rsid w:val="000830BC"/>
    <w:rsid w:val="00084CD7"/>
    <w:rsid w:val="00096F39"/>
    <w:rsid w:val="000972C0"/>
    <w:rsid w:val="000A33F9"/>
    <w:rsid w:val="000D375F"/>
    <w:rsid w:val="000D6E06"/>
    <w:rsid w:val="000E3A04"/>
    <w:rsid w:val="000F2CC6"/>
    <w:rsid w:val="00100C03"/>
    <w:rsid w:val="001053B0"/>
    <w:rsid w:val="00107B83"/>
    <w:rsid w:val="00110397"/>
    <w:rsid w:val="00124217"/>
    <w:rsid w:val="00147867"/>
    <w:rsid w:val="00176D1E"/>
    <w:rsid w:val="00197B7D"/>
    <w:rsid w:val="001A3CC9"/>
    <w:rsid w:val="001E6EF3"/>
    <w:rsid w:val="00201797"/>
    <w:rsid w:val="00224153"/>
    <w:rsid w:val="002275DC"/>
    <w:rsid w:val="002340E7"/>
    <w:rsid w:val="00234504"/>
    <w:rsid w:val="00261614"/>
    <w:rsid w:val="002955C3"/>
    <w:rsid w:val="002972AE"/>
    <w:rsid w:val="002A1FB0"/>
    <w:rsid w:val="002B234C"/>
    <w:rsid w:val="002C1E79"/>
    <w:rsid w:val="002C6B2A"/>
    <w:rsid w:val="002E3211"/>
    <w:rsid w:val="002F245B"/>
    <w:rsid w:val="0031561C"/>
    <w:rsid w:val="003169D7"/>
    <w:rsid w:val="00325BDA"/>
    <w:rsid w:val="003309E8"/>
    <w:rsid w:val="00332543"/>
    <w:rsid w:val="00336A7F"/>
    <w:rsid w:val="00350101"/>
    <w:rsid w:val="0036566E"/>
    <w:rsid w:val="0036758A"/>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E7088"/>
    <w:rsid w:val="00507DB3"/>
    <w:rsid w:val="00543765"/>
    <w:rsid w:val="00557C4E"/>
    <w:rsid w:val="005675E8"/>
    <w:rsid w:val="00574A60"/>
    <w:rsid w:val="005C5801"/>
    <w:rsid w:val="005D34A6"/>
    <w:rsid w:val="005F6946"/>
    <w:rsid w:val="00623604"/>
    <w:rsid w:val="006272C1"/>
    <w:rsid w:val="00643B2E"/>
    <w:rsid w:val="006618CC"/>
    <w:rsid w:val="006724FE"/>
    <w:rsid w:val="00676989"/>
    <w:rsid w:val="006854C2"/>
    <w:rsid w:val="006A2BF0"/>
    <w:rsid w:val="006A6334"/>
    <w:rsid w:val="006C7CBC"/>
    <w:rsid w:val="006D3756"/>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7512A"/>
    <w:rsid w:val="008B275A"/>
    <w:rsid w:val="008D0309"/>
    <w:rsid w:val="008E7E81"/>
    <w:rsid w:val="009020AA"/>
    <w:rsid w:val="00912CF8"/>
    <w:rsid w:val="0092128D"/>
    <w:rsid w:val="009274B7"/>
    <w:rsid w:val="00964FC5"/>
    <w:rsid w:val="0097041B"/>
    <w:rsid w:val="009A5288"/>
    <w:rsid w:val="009C4F60"/>
    <w:rsid w:val="009D099A"/>
    <w:rsid w:val="009E1CE2"/>
    <w:rsid w:val="009E53F7"/>
    <w:rsid w:val="009F698C"/>
    <w:rsid w:val="00A221B4"/>
    <w:rsid w:val="00A25C7C"/>
    <w:rsid w:val="00A3626C"/>
    <w:rsid w:val="00A543FF"/>
    <w:rsid w:val="00A65173"/>
    <w:rsid w:val="00A7468E"/>
    <w:rsid w:val="00A84E10"/>
    <w:rsid w:val="00A84E24"/>
    <w:rsid w:val="00AA49C1"/>
    <w:rsid w:val="00AB7418"/>
    <w:rsid w:val="00AC2031"/>
    <w:rsid w:val="00AD47C5"/>
    <w:rsid w:val="00B0152B"/>
    <w:rsid w:val="00B064BA"/>
    <w:rsid w:val="00B43CFE"/>
    <w:rsid w:val="00B637FE"/>
    <w:rsid w:val="00B9089E"/>
    <w:rsid w:val="00BA0964"/>
    <w:rsid w:val="00BA1280"/>
    <w:rsid w:val="00BD21B7"/>
    <w:rsid w:val="00BD395A"/>
    <w:rsid w:val="00C00654"/>
    <w:rsid w:val="00C03D8B"/>
    <w:rsid w:val="00C127D4"/>
    <w:rsid w:val="00C62DEE"/>
    <w:rsid w:val="00CA463D"/>
    <w:rsid w:val="00CA75E2"/>
    <w:rsid w:val="00CD2810"/>
    <w:rsid w:val="00CF758B"/>
    <w:rsid w:val="00D018CC"/>
    <w:rsid w:val="00D073C0"/>
    <w:rsid w:val="00D22BDE"/>
    <w:rsid w:val="00D408C3"/>
    <w:rsid w:val="00D5306F"/>
    <w:rsid w:val="00D575C0"/>
    <w:rsid w:val="00D60F13"/>
    <w:rsid w:val="00D72EDB"/>
    <w:rsid w:val="00D73BA5"/>
    <w:rsid w:val="00D93D4A"/>
    <w:rsid w:val="00DA557C"/>
    <w:rsid w:val="00DB4107"/>
    <w:rsid w:val="00DF516F"/>
    <w:rsid w:val="00E00D67"/>
    <w:rsid w:val="00E12D63"/>
    <w:rsid w:val="00E34151"/>
    <w:rsid w:val="00E460E0"/>
    <w:rsid w:val="00E70FEE"/>
    <w:rsid w:val="00E80B77"/>
    <w:rsid w:val="00E853A5"/>
    <w:rsid w:val="00EC38AD"/>
    <w:rsid w:val="00EF41BB"/>
    <w:rsid w:val="00EF5482"/>
    <w:rsid w:val="00F031DA"/>
    <w:rsid w:val="00F1747C"/>
    <w:rsid w:val="00F241B5"/>
    <w:rsid w:val="00F357AD"/>
    <w:rsid w:val="00F40346"/>
    <w:rsid w:val="00F46B8A"/>
    <w:rsid w:val="00F65E03"/>
    <w:rsid w:val="00F727FF"/>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erimaa@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uto.laagri@skoda.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risto.haug@skoda.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2093</Words>
  <Characters>12141</Characters>
  <Application>Microsoft Office Word</Application>
  <DocSecurity>4</DocSecurity>
  <Lines>101</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2</cp:revision>
  <dcterms:created xsi:type="dcterms:W3CDTF">2025-10-14T12:42:00Z</dcterms:created>
  <dcterms:modified xsi:type="dcterms:W3CDTF">2025-10-14T12:42:00Z</dcterms:modified>
</cp:coreProperties>
</file>